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rPr>
          <w:rFonts w:ascii="Times New Roman" w:hAnsi="Times New Roman"/>
          <w:b/>
          <w:sz w:val="24"/>
          <w:szCs w:val="24"/>
        </w:rPr>
        <w:framePr w:hSpace="180" w:wrap="around" w:vAnchor="text" w:hAnchor="text" w:y="1"/>
      </w:pPr>
      <w:r/>
      <w:bookmarkStart w:id="0" w:name="_GoBack"/>
      <w:r/>
      <w:bookmarkEnd w:id="0"/>
      <w:r>
        <w:rPr>
          <w:rFonts w:ascii="Times New Roman" w:hAnsi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5103"/>
        <w:jc w:val="right"/>
        <w:rPr>
          <w:rFonts w:ascii="Times New Roman" w:hAnsi="Times New Roman"/>
          <w:bCs/>
          <w:sz w:val="24"/>
          <w:szCs w:val="24"/>
        </w:rPr>
        <w:framePr w:hSpace="180" w:wrap="around" w:vAnchor="text" w:hAnchor="text" w:y="1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right"/>
        <w:rPr>
          <w:rFonts w:ascii="Times New Roman" w:hAnsi="Times New Roman"/>
          <w:bCs/>
          <w:sz w:val="24"/>
          <w:szCs w:val="24"/>
        </w:rPr>
        <w:framePr w:hSpace="180" w:wrap="around" w:vAnchor="text" w:hAnchor="text" w:y="1"/>
      </w:pPr>
      <w:r>
        <w:rPr>
          <w:rFonts w:ascii="Times New Roman" w:hAnsi="Times New Roman"/>
          <w:bCs/>
          <w:sz w:val="24"/>
          <w:szCs w:val="24"/>
        </w:rPr>
        <w:t xml:space="preserve">Д</w:t>
      </w:r>
      <w:r>
        <w:rPr>
          <w:rFonts w:ascii="Times New Roman" w:hAnsi="Times New Roman"/>
          <w:bCs/>
          <w:sz w:val="24"/>
          <w:szCs w:val="24"/>
        </w:rPr>
        <w:t xml:space="preserve">иректор</w:t>
      </w:r>
      <w:bookmarkStart w:id="1" w:name="_Hlk131336656"/>
      <w:r>
        <w:rPr>
          <w:rFonts w:ascii="Times New Roman" w:hAnsi="Times New Roman"/>
          <w:bCs/>
          <w:sz w:val="24"/>
          <w:szCs w:val="24"/>
        </w:rPr>
        <w:t xml:space="preserve"> ООО «</w:t>
      </w:r>
      <w:r>
        <w:rPr>
          <w:rFonts w:ascii="Times New Roman" w:hAnsi="Times New Roman"/>
          <w:bCs/>
          <w:sz w:val="24"/>
          <w:szCs w:val="24"/>
        </w:rPr>
        <w:t xml:space="preserve">Нико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Турс</w:t>
      </w:r>
      <w:r>
        <w:rPr>
          <w:rFonts w:ascii="Times New Roman" w:hAnsi="Times New Roman"/>
          <w:bCs/>
          <w:sz w:val="24"/>
          <w:szCs w:val="24"/>
        </w:rPr>
        <w:t xml:space="preserve"> Тольятти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bookmarkEnd w:id="1"/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right"/>
        <w:rPr>
          <w:rFonts w:ascii="Times New Roman" w:hAnsi="Times New Roman"/>
          <w:bCs/>
          <w:sz w:val="24"/>
          <w:szCs w:val="24"/>
        </w:rPr>
        <w:framePr w:hSpace="180" w:wrap="around" w:vAnchor="text" w:hAnchor="text" w:y="1"/>
      </w:pPr>
      <w:r>
        <w:rPr>
          <w:rFonts w:ascii="Times New Roman" w:hAnsi="Times New Roman"/>
          <w:bCs/>
          <w:sz w:val="24"/>
          <w:szCs w:val="24"/>
        </w:rPr>
        <w:t xml:space="preserve">А.В. Силантьев 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right"/>
        <w:rPr>
          <w:rFonts w:ascii="Times New Roman" w:hAnsi="Times New Roman"/>
          <w:bCs/>
          <w:sz w:val="24"/>
          <w:szCs w:val="24"/>
        </w:rPr>
        <w:framePr w:hSpace="180" w:wrap="around" w:vAnchor="text" w:hAnchor="text" w:y="1"/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723"/>
        <w:jc w:val="right"/>
        <w:spacing w:before="0" w:beforeAutospacing="0" w:after="0" w:afterAutospacing="0"/>
        <w:rPr>
          <w:rStyle w:val="725"/>
          <w:color w:val="22272f"/>
        </w:rPr>
      </w:pPr>
      <w:r>
        <w:rPr>
          <w:bCs/>
        </w:rPr>
        <w:t xml:space="preserve">«</w:t>
      </w:r>
      <w:r>
        <w:rPr>
          <w:bCs/>
        </w:rPr>
        <w:t xml:space="preserve">01</w:t>
      </w:r>
      <w:r>
        <w:rPr>
          <w:bCs/>
        </w:rPr>
        <w:t xml:space="preserve">» </w:t>
      </w:r>
      <w:r>
        <w:rPr>
          <w:bCs/>
        </w:rPr>
        <w:t xml:space="preserve">июня</w:t>
      </w:r>
      <w:r>
        <w:rPr>
          <w:bCs/>
        </w:rPr>
        <w:t xml:space="preserve"> 2025 г.</w:t>
      </w:r>
      <w:r>
        <w:rPr>
          <w:rStyle w:val="725"/>
          <w:color w:val="22272f"/>
        </w:rPr>
      </w:r>
    </w:p>
    <w:p>
      <w:pPr>
        <w:pStyle w:val="723"/>
        <w:jc w:val="center"/>
        <w:spacing w:before="0" w:beforeAutospacing="0" w:after="0" w:afterAutospacing="0"/>
        <w:rPr>
          <w:rStyle w:val="725"/>
          <w:color w:val="22272f"/>
        </w:rPr>
      </w:pPr>
      <w:r>
        <w:rPr>
          <w:color w:val="22272f"/>
        </w:rPr>
      </w:r>
      <w:r>
        <w:rPr>
          <w:rStyle w:val="725"/>
          <w:color w:val="22272f"/>
        </w:rPr>
      </w:r>
    </w:p>
    <w:p>
      <w:pPr>
        <w:pStyle w:val="723"/>
        <w:jc w:val="center"/>
        <w:spacing w:before="0" w:beforeAutospacing="0" w:after="0" w:afterAutospacing="0"/>
        <w:rPr>
          <w:rStyle w:val="725"/>
          <w:color w:val="22272f"/>
        </w:rPr>
      </w:pPr>
      <w:r>
        <w:rPr>
          <w:rStyle w:val="725"/>
          <w:color w:val="22272f"/>
        </w:rPr>
        <w:t xml:space="preserve">ПОЛИТИКА В ОТНОШЕНИИ ОБРАБОТКИ ПЕРСОНАЛЬНЫХ ДАННЫХ</w:t>
      </w:r>
      <w:r>
        <w:rPr>
          <w:rStyle w:val="725"/>
          <w:color w:val="22272f"/>
        </w:rPr>
      </w:r>
    </w:p>
    <w:p>
      <w:pPr>
        <w:pStyle w:val="723"/>
        <w:jc w:val="center"/>
        <w:spacing w:before="0" w:beforeAutospacing="0" w:after="0" w:afterAutospacing="0"/>
        <w:rPr>
          <w:rStyle w:val="725"/>
          <w:color w:val="22272f"/>
        </w:rPr>
      </w:pPr>
      <w:r>
        <w:rPr>
          <w:rStyle w:val="725"/>
          <w:color w:val="22272f"/>
        </w:rPr>
        <w:t xml:space="preserve">в отношении</w:t>
      </w:r>
      <w:r>
        <w:rPr>
          <w:rStyle w:val="725"/>
          <w:color w:val="22272f"/>
        </w:rPr>
        <w:t xml:space="preserve"> клиентов Оператора посетителей</w:t>
      </w:r>
      <w:r>
        <w:rPr>
          <w:rStyle w:val="725"/>
          <w:color w:val="22272f"/>
        </w:rPr>
        <w:t xml:space="preserve"> Сайт</w:t>
      </w:r>
      <w:r>
        <w:rPr>
          <w:rStyle w:val="725"/>
          <w:color w:val="22272f"/>
        </w:rPr>
        <w:t xml:space="preserve">а</w:t>
      </w:r>
      <w:r>
        <w:rPr>
          <w:rStyle w:val="725"/>
          <w:color w:val="22272f"/>
        </w:rPr>
        <w:t xml:space="preserve"> и каналов в </w:t>
      </w:r>
      <w:r>
        <w:rPr>
          <w:rStyle w:val="725"/>
          <w:color w:val="22272f"/>
        </w:rPr>
        <w:t xml:space="preserve">соцсетях</w:t>
      </w:r>
      <w:r>
        <w:rPr>
          <w:rStyle w:val="725"/>
          <w:color w:val="22272f"/>
        </w:rPr>
      </w:r>
    </w:p>
    <w:p>
      <w:pPr>
        <w:pStyle w:val="723"/>
        <w:spacing w:before="0" w:beforeAutospacing="0" w:after="0" w:afterAutospacing="0"/>
        <w:rPr>
          <w:rStyle w:val="725"/>
          <w:color w:val="22272f"/>
        </w:rPr>
      </w:pPr>
      <w:r>
        <w:rPr>
          <w:color w:val="22272f"/>
        </w:rPr>
      </w:r>
      <w:r>
        <w:rPr>
          <w:rStyle w:val="725"/>
          <w:color w:val="22272f"/>
        </w:rPr>
      </w:r>
    </w:p>
    <w:p>
      <w:pPr>
        <w:pStyle w:val="723"/>
        <w:spacing w:before="0" w:beforeAutospacing="0" w:after="0" w:afterAutospacing="0"/>
        <w:rPr>
          <w:rStyle w:val="725"/>
          <w:b w:val="0"/>
          <w:bCs w:val="0"/>
          <w:i/>
          <w:iCs/>
          <w:color w:val="22272f"/>
        </w:rPr>
      </w:pPr>
      <w:r>
        <w:rPr>
          <w:rStyle w:val="725"/>
          <w:b w:val="0"/>
          <w:bCs w:val="0"/>
          <w:i/>
          <w:iCs/>
          <w:color w:val="22272f"/>
        </w:rPr>
        <w:t xml:space="preserve">редакция от </w:t>
      </w:r>
      <w:r>
        <w:rPr>
          <w:rStyle w:val="725"/>
          <w:b w:val="0"/>
          <w:bCs w:val="0"/>
          <w:i/>
          <w:iCs/>
          <w:color w:val="22272f"/>
        </w:rPr>
        <w:t xml:space="preserve">01 июня 2025 </w:t>
      </w:r>
      <w:r>
        <w:rPr>
          <w:rStyle w:val="725"/>
          <w:b w:val="0"/>
          <w:bCs w:val="0"/>
          <w:i/>
          <w:iCs/>
          <w:color w:val="22272f"/>
        </w:rPr>
        <w:t xml:space="preserve">г.</w:t>
      </w:r>
      <w:r>
        <w:rPr>
          <w:rStyle w:val="725"/>
          <w:b w:val="0"/>
          <w:bCs w:val="0"/>
          <w:i/>
          <w:iCs/>
          <w:color w:val="22272f"/>
        </w:rPr>
        <w:t xml:space="preserve"> </w:t>
      </w:r>
      <w:r>
        <w:rPr>
          <w:rStyle w:val="725"/>
          <w:b w:val="0"/>
          <w:bCs w:val="0"/>
          <w:i/>
          <w:iCs/>
          <w:color w:val="22272f"/>
        </w:rPr>
      </w:r>
    </w:p>
    <w:p>
      <w:pPr>
        <w:pStyle w:val="7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1.1. Настоящий документ (далее - Политика) определяет политику в отношении обработки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bookmarkStart w:id="2" w:name="_Hlk190388616"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(далее - Оператор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bookmarkEnd w:id="2"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tbl>
      <w:tblPr>
        <w:tblStyle w:val="735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Тольятти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Юридический, фактический адрес: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445037, Самарская область, г. Тольятти, ул. Юбилейная, д. 31 «И»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6382009155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ОГРН: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1026301983399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allntt@ntt.com.ru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8 800 302 37 40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1.2. Политика разработана во исполнение требований п. 2 ч. 1 ст. 18.1 Федерального закона от 27.07.2006 N 152-Ф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 «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" (далее - Закон о персональных данных).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1.3. Понятия, содержащиеся в ст. 3 Закона о персональных данных, используются в Политике с аналогичным значением.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1.4. Действие Политики распространяется на все операции, совершаемые Оператором с персональными данными с использованием средств автоматизации или без их использования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, в том числе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информационно-телекоммуникационной сети Интернет на сайте Оператора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/>
      </w:pPr>
      <w:r/>
      <w:r/>
    </w:p>
    <w:tbl>
      <w:tblPr>
        <w:tblStyle w:val="735"/>
        <w:tblW w:w="9776" w:type="dxa"/>
        <w:tblLook w:val="04A0" w:firstRow="1" w:lastRow="0" w:firstColumn="1" w:lastColumn="0" w:noHBand="0" w:noVBand="1"/>
      </w:tblPr>
      <w:tblGrid>
        <w:gridCol w:w="7146"/>
        <w:gridCol w:w="2630"/>
      </w:tblGrid>
      <w:tr>
        <w:tblPrEx/>
        <w:trPr/>
        <w:tc>
          <w:tcPr>
            <w:tcW w:w="7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 в телекоммуникационной сети «Интернет» (далее – Сайт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Сайт Оператора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каналы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соцсетях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Оператора, посредством которого производится обработка персональных данных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W w:w="20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1" w:tooltip="https://nikoturs.ru/" w:history="1"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https://nikoturs.ru/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2" w:tooltip="https://vk.com/niko.tours" w:history="1">
              <w:r>
                <w:rPr>
                  <w:rStyle w:val="727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  <w:lang w:val="en-US"/>
                </w:rPr>
                <w:t xml:space="preserve">niko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727"/>
                  <w:rFonts w:ascii="Times New Roman" w:hAnsi="Times New Roman"/>
                  <w:sz w:val="24"/>
                  <w:szCs w:val="24"/>
                  <w:lang w:val="en-US"/>
                </w:rPr>
                <w:t xml:space="preserve">tours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3" w:tooltip="https://t.me/niko_tours" w:history="1"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https://t.me/niko_tours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4" w:tooltip="https://ok.ru/nikotours" w:history="1">
              <w:r>
                <w:rPr>
                  <w:rStyle w:val="727"/>
                  <w:rFonts w:ascii="Times New Roman" w:hAnsi="Times New Roman"/>
                  <w:sz w:val="24"/>
                  <w:szCs w:val="24"/>
                </w:rPr>
                <w:t xml:space="preserve">https://ok.ru/nikotours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айте Оператора.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Основные права и обязанности Оператора.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.1. Оператор имеет право: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предусмотренных </w:t>
      </w:r>
      <w:hyperlink r:id="rId15" w:tooltip="Федеральный закон от 27.07.2006 N 152-ФЗ (ред. от 08.08.2024) &quot;О персональных данных&quot;{КонсультантПлюс}" w:history="1">
        <w:r>
          <w:rPr>
            <w:rStyle w:val="727"/>
            <w:rFonts w:ascii="Times New Roman" w:hAnsi="Times New Roman" w:eastAsia="Times New Roman" w:cs="Times New Roman"/>
            <w:color w:val="auto"/>
            <w:sz w:val="24"/>
            <w:szCs w:val="24"/>
            <w:u w:val="none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поручить обработку персональных данных друго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получать от субъекта персональных данных достоверные информацию и/или документы, содержащие персональные данные;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требовать от субъекта персональных данных своевременного уточнения предоставленных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.2. Оператор обязан: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обрабатывать персональные данные в порядке, установленном действующим законодательством РФ;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согласно ст.14 Закона 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предоставлять субъекту персональных данных (его законному представителю) возможность безвозмездного доступа к его персональным данным;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сообщать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порядке, определенном федеральным органом исполнительной власти, уполномоченным в области обеспечения безопасности, обеспечивать взаимодействие с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государственной системой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организовывать защиту персональных данных в соответствии с требованиями законодательства РФ.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Основные права и обязанности субъектов персональных данных: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.1. Субъекты персональных данных имеют право: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уточнение 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отзыв согласия на обработку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(путем направления соответствующего волеизъявления на электронную почту или юридический адрес Оператора)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дать предварительное согласие на обработку персональных данных в целях продвижения на рынке товаров, работ и услуг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принятие предусмотренных законом мер по защите своих прав;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обжаловать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Роскомнадзоре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или в судебном порядке неправомерные действия или бездействие Оператора при обработке его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3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осуществление иных прав, предусмотренных законодательством РФ.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.2. Субъекты персональных данных обязаны: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предоставлять Оператору только достоверные данные о себе;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предоставлять документы, содержащие персональные данные в объеме, необходимом для цели обработки;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4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сообщать Оператору об уточнении (обновлении, изменении) своих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.4.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Контроль за исполнением требований Политики осуществляется уполномоченным лицом, ответственным за организацию обработки персональных данных у Оператора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1.7.5.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Заполняя соответствующие формы и/или отправляя свои персональные данные Оператору, согласие на обработку персональных данных считается предоставленным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Субъектом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посредством совершения им конклюдентных действий, а именно путем проставления специального знака – «веб-метки» в специальном поле на Сайте рядом с текстом вида: «Я даю согласие на обработку персональных данных на условиях Политики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обработки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», при условии, что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Субъекту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в каждом месте сбора персональных данных предоставлена возможность ознакомиться с полным текстом Политики.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2. ОБЪЕМ И КАТЕГОРИИ ОБРАБАТЫВАЕМЫХ ПЕРСОНАЛЬНЫХ ДАННЫХ, КАТЕГОРИИ СУБЪЕКТОВ ПЕРСОНАЛЬНЫХ ДАННЫХ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Содержание и объем обрабатываемых персональных данных должны соответствовать заявленным целям обработки, предусмотренным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разд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еле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3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Политики. Обрабатываемые персональные данные не должны быть избыточными по отношению к заявленным целям их обработки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 может обрабатывать персональные данные следующих категорий субъектов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2.2.1. Клиенты Оператора (физические лица)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2.2.2. Представители (работники) клиентов и контрагентов Оператора;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2.2.3. Посетители Сайта Оператора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(Пользователи)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.3. Оператором не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РФ.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2.4.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Оператором не осуществляется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обработка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биометрически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персональны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2.5.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Трансграничная передача персональных данных Оператором не осуществляется.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 технологии «Куки»: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Куки (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– это фрагмент данных, отправленный сер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вером Оператора и хранимый на устройстве Пользователя. Содержимое такого файла может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Пользователь вправе запретить своему оборудованию прием этих данных или ограничить прием этих данных. При отказе от получени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я таких данных или при ограничении приема данных некоторые функции Сайта могут работать некорректно. Пользователь обязуется сам настроить свое оборудование таким способом, чтобы оно обеспечивало адекватный его желаниям режим работы и уровень защиты данных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куки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), а Оператор не предоставляет технологических и правовых консультаций на темы подобного характера.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 может использовать следующие типы файлов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куки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) в следующих целях: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технические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: эти файлы необходимы для нормальной работы Сайта и предоставления его функций;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кроме всего прочего, они позволяют идентифицировать аппаратное и программное обеспечение, включая тип браузера, чтобы Сайт работал корректно на оборудовании конкретного Пользователя. Например, если вы создадите учетную запись, мы будем использовать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для управления процессом регистрации и общего администрирования. Когда вы входите в учетную запись, мы будем использовать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, чтобы Сайт мог помнить об этом факте. Это избавляет вас от необходимости входить в учетную запись каждый раз, когда вы посещаете новую страницу Сайта;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для сохранения настроек и предпочтений: эти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позволяют сохранять предпочтения Пользователя, такие как выбранный язык, местоположение, настройки внешнего вида Сайта. Чтобы запомнить ваши предпочтения, нам необходимо использовать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, чтобы эта информация могла вызываться всякий раз, когда вы взаимодействуете со страницей Сайта, и чтобы ваши настройки не сбивались;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, относящиеся к рассылке по электронной почте: Сайт предлагает подписаться на информационный бюллетень по электронной почте, и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могут использоваться, чтобы помнить, подписаны ли вы на такой бюллетень, и показывать ли вам определенные уведомления, которые могут быть действительны только для подписанных/неподписанных пользователей;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статистические/аналитические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: эти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позволяют распознавать пользователей, подсчитывать их количество и собирать информацию, такую как произведенные операции на Сайте, включая информацию о посещенных страницах Сайта и контенте, который наиболее интересен Пользователю. Такие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используются Оператором чтобы собирать, анализировать и упорядочивать статистику и аналитику Сайта и улучшать Сайт;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поведенческие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: эти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собирают информацию о том, как пользователи взаимодействуют с Сайтом, что позволяет выявлять ошибки и тестировать новые функции для повышения производительности Сайта;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для форм: когда вы отправляете данные через форму, такую ​​как те, которые находятся на странице контактов, в формах обратной связи, в формах для комментариев,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 могут использоваться для запоминания вас для будущей переписки;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</w:r>
    </w:p>
    <w:p>
      <w:pPr>
        <w:numPr>
          <w:ilvl w:val="0"/>
          <w:numId w:val="27"/>
        </w:numPr>
        <w:ind w:left="0" w:firstLine="0"/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сторонние и рекламные файлы 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bCs/>
          <w:color w:val="22272f"/>
          <w:sz w:val="24"/>
          <w:szCs w:val="24"/>
          <w:lang w:eastAsia="ru-RU"/>
        </w:rPr>
        <w:t xml:space="preserve">: эти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файлы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собирают информацию о пользователях, источниках трафика, посещенных страницах, о рекламе, отображенной для конкретного Пользователя или груп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 пользователей, а также той рекламе, по которой Пользователь перешел на рекламируемую страницу. Они позволяют отображать рекламу, которая может заинтересовать конкретного Пользователя на основе анализа его персональной информации, поведения, предпочтений.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Использование файлов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куки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) регулируется следующим образом: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а) файлы куки, содержание которых определяет и обрабатывает исключительно Оператор, обрабатываются на условиях настоящей Политики;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б) файлы куки, содержание которых определяет и обрабатывает третье лицо – например, поставщик стороннего программного обеспечения или сервиса, которым пользуется Оператор – обрабатываются на условиях настоящей Политики, а также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условиях документов о конфиденциальности такого стороннего лица, содержащих, в том числе, наименование этого лица, порядок и условия работы с файлами куки и контактную информацию для обращений субъектов персональных данных: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Для аналитики использования Сайта мы применяем следующие сторонние инструменты, которые могут использовать технологии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cookie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22272f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Яндекс Метрика </w:t>
      </w:r>
      <w:hyperlink r:id="rId16" w:tooltip="https://yandex.ru/legal/confidential/" w:history="1">
        <w:r>
          <w:rPr>
            <w:rStyle w:val="72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https://yandex.ru/legal/confidential/</w:t>
        </w:r>
      </w:hyperlink>
      <w:r/>
      <w:r>
        <w:rPr>
          <w:rFonts w:ascii="Times New Roman" w:hAnsi="Times New Roman" w:eastAsia="Times New Roman" w:cs="Times New Roman"/>
          <w:color w:val="22272f"/>
          <w:sz w:val="24"/>
          <w:szCs w:val="24"/>
          <w:u w:val="single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Чтобы отключить отправку данных в Яндекс Метрику на всех сайтах, которые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посещаются,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Посетитель вправе установить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блокировщик Яндекс Метрики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hyperlink r:id="rId17" w:tooltip="https://yandex.ru/support/metrica/general/opt-out.html#opt-out" w:anchor="opt-out" w:history="1">
        <w:r>
          <w:rPr>
            <w:rStyle w:val="727"/>
            <w:rFonts w:ascii="Times New Roman" w:hAnsi="Times New Roman" w:eastAsia="Times New Roman" w:cs="Times New Roman"/>
            <w:sz w:val="24"/>
            <w:szCs w:val="24"/>
          </w:rPr>
          <w:t xml:space="preserve">https://yandex.ru/support/metrica/general/opt-out.html#opt-out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Условия использования сервиса Яндекс Метрика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 предусматривают передачу информации, могущей идентифицировать конкретное лицо (ФИО, контакты, данные документов и банковских карт, пароли и иную информацию, являющуюся персональными данными).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3. ЦЕЛИ СБОРА ПЕРСОНАЛЬНЫХ ДАННЫХ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.2. Обработке подлежат только персональные данные, которые отвечают целям их обработки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Персональные данные обрабатываются Оператором в следующих целях: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3.3.1. </w:t>
      </w: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Цель 1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подготовка, заключение и исполнение гражданско-правового договора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Перечень обрабатываемых персональных данных иной категории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фамилия, имя, отчество;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месяц, год, дата рождения; семейное положение; доходы; пол; адрес электронной почты; адрес регистрации; номер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телефона; гражданство; данные документа, удостоверяющего личность; данные документа, удостоверяющего личность за пределами РФ; данные документа, содержащиеся в свидетельстве о рождении; реквизиты банковской карты; должность; фото, видео изображение лица.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Категории субъектов, персональные данные которых обрабатываются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контрагенты; представители контрагентов; клиенты; выгодоприобретатели по договорам; законные представители.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Действия с персональными данными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сбор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запись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систематизация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накопление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хранение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уточнение (обновление, изменение)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извлечение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использование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передача (предоставление, доступ)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обезличивание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блокирование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удаление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уничтожение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Срок обработки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 достижения цели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, но не более трех лет.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Способ обработки: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смешанный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Основания обработки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обработка персональных данных необходима д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данных будет являться выгодоприобретателем или поручителем.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Порядок уничтожения персональных данных при достижении цели их обработки или при наступлении иных законных оснований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– в информационных системах; физическое уничтожение персональных данных с составлением акта об уничтожения персональных данных – на материальных носителях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Дополнительная информация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Персональные данные (ФИО, месяц/год/дата рождения, пол, адрес места жительства, адрес электронной почты, номер телефона, гражданство, данные документа, удостоверяющего личность, данные документа, у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достоверяющего личность за пределами РФ, данные документа, содержащиеся в свидетельстве о рождении) необходимы для заключения договора по инициативе субъекта и исполнения договора. Иные данные (доходы, семейное положение, фото лица, должность) могут обраба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тываться если договором предусмотрена передача документов, содержащих указанные сведения, туроператору с целью оформления въездных виз. Иные данные (реквизиты банковской карты) могут обрабатываться при необходимости осуществления возврата денежных средств.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3.3.2. </w:t>
      </w: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Продвижение товаров, работ, услуг на рынке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Перечень обрабатываемых персональных данных иной категории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фамилия, имя, отчество; адрес электронной почты; номер телефона;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сведения, собираемые посредством метрических программ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 фото, видео изображение лица.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Категории субъектов, персональные данные которых обрабатываются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клиенты;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посетители сайтов.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Действия с персональными данными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сбор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запись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систематизация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накопление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хранение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уточнение (обновление, изменение)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извлечение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использование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передача (предоставление, доступ)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обезличивание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блокирование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удаление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уничтожение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 распространение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Срок обработки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 достижения цели либо до отзыва согласия субъектом (но не более трех лет).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Способ обработки: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смешанный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Основания обработки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Порядок уничтожения персональных данных при достижении цели их обработки или при наступлении иных законных оснований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лицо, ответственное за обработку персональных данных, производит стирание данных методом перезаписи (замена всех единиц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хранения информации на «0») с составлением акта об уничтожении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– в информационных системах; физическое уничтожение персональных данных с составлением акта об уничтожения персональных данных – на материальных носителях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Дополнительная информация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Распространение персональных данных (ФИО, фото) осуществляется только в случае наличия соответствующего согласия субъекта в виде публикации отзыва такого субъекта. Отзывы могут оставлять клиенты или посетители сайта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3.3.3. </w:t>
      </w: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иная: с</w:t>
      </w:r>
      <w:r>
        <w:rPr>
          <w:rFonts w:ascii="Times New Roman" w:hAnsi="Times New Roman" w:cs="Times New Roman"/>
          <w:sz w:val="24"/>
          <w:szCs w:val="24"/>
        </w:rPr>
        <w:t xml:space="preserve">облюдение требований законодательства в сфере туризма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Перечень обрабатываемых персональных данных иной категории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фамилия, имя, отчество; месяц, год, дата рождения; пол; адрес электронной почты; адрес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места жительства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 номер телефона; гражданство; данные документа, удостоверяющего личность; данные документа, удостоверяющего личность за пределами РФ; данные документа, содержащиеся в свидетельстве о рождении.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Категории субъектов, персональные данные которых обрабатываются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контрагенты; представители контрагентов; клиенты; выгодоприобретатели по договорам; законные представители.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Действия с персональными данными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сбор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запись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систематизация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накопление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хранение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уточнение (обновление, изменение)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извлечение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использование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передача (предоставление, доступ)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обезличивание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блокирование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удаление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уничтожение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Срок обработки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 достижения цели, но не более трех лет.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Способ обработки: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смешанный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Основания обработки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обработка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Порядок уничтожения персональных данных при достижении цели их обработки или при наступлении иных законных оснований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– в информационных системах; физическое уничтожение персональных данных с составлением акта об уничтожения персональных данных – на материальных носителях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72f"/>
          <w:sz w:val="24"/>
          <w:szCs w:val="24"/>
          <w:lang w:eastAsia="ru-RU"/>
        </w:rPr>
        <w:t xml:space="preserve">Дополнительная информация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необходимых для исполнения требований законодательства в виде переда</w:t>
      </w:r>
      <w:r>
        <w:rPr>
          <w:rFonts w:ascii="Times New Roman" w:hAnsi="Times New Roman" w:cs="Times New Roman"/>
          <w:sz w:val="24"/>
          <w:szCs w:val="24"/>
        </w:rPr>
        <w:t xml:space="preserve">чи сведения в Государственная информационная система «Электронная путевка», установлен постановлением Правительства Российской Федерации от 18 марта 2023 г. № 417 "Об утверждении Правил функционирования единой информационной системы электронных путевок …".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4. ПРАВОВЫЕ ОСНОВАНИЯ ОБРАБОТКИ ПЕРСОНАЛЬНЫХ ДАННЫХ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4.1. Правовыми основаниями обработки персональных данных Оператором являются: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Конституция РФ;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Гражданский кодекс РФ;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ФЗ «Об основах туристской деятельности в РФ»;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18 марта 2023 г. № 417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функционирования единой информационной системы электронных путевок …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договоры, заключаемые между Оператором и субъектами персональных данных;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согласия субъектов персональных данных на обработку персональных данных;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иные основания, когда согласие на обработку персональных данных не требуется в силу закона.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5. ПОРЯДОК И УСЛОВИЯ ОБРАБОТКИ ПЕРСОНАЛЬНЫХ ДАННЫХ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5.1. Обработка персональных данных осуществляется Оператором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Обработка персональных данных для каждой цели обработки, указанной в п. 3.3 Политики, осуществляется путем: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получения персональных данных в устной и письменной форме непосредственно от субъектов персональных данных;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внесения персональных данных в журналы, реестры и информационные системы Оператора;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внесения персональных данных в специализированные формы сбора информации, размещенные на Сайте Оператора Пользователем;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7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использования иных способов обработки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Не допускается раскрытие третьим лицам и распространение персональных данных без согласия субъекта персональных данных, ес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ли иное не предусмотрено федеральным законом.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Передача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Опер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Разработано и утверждено Положение об обработке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Назначено лицо, ответственное за организацию обработки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Разработан, опубликован и размещен на стенде и на сайте организации документ, определяющий политику в отношении обработки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Разработаны локальные акты по вопросам обработки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Осуществляется внутренний контроль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Работники, непосредственно осуществляющие обработку персональных данных, ознакомлены с положениями законодательст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Разработана модель угроз безопасности в информационной системе;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Обеспечивается учет машинных носителей персональных данных;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Обеспечивается восстановление персональных данных, модифицированных или уничтоженных вследствие несанкционированного доступа к ним;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pStyle w:val="729"/>
        <w:numPr>
          <w:ilvl w:val="0"/>
          <w:numId w:val="28"/>
        </w:num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Разработаны правила доступа к персональным данным, обрабатываемым в информационной системе персональных данных, а также обеспечивается регистрации и учета всех действий, совершаемых с персональными данными в информационной системе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Оператор осущ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Персональные данные на бумажных носителях хранятся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от 22.10.2004 N 125-ФЗ "Об архивном деле в Российской Федерации",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236)).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.2.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Оператор прекращает обработку персональных данных в следующих случаях: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выявлен факт их неправомерной обработки. Срок - в течение трех рабочих дней с даты выявления;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достигнута цель их обработки;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истек срок действия или отозвано согласие субъекта персональных данных на обработку указанных данных, когда по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Закону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 обработка этих данных допускается только с согласия.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0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0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0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left="540"/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При обращении субъекта персональных д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5.1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При сборе персональных данных, в том числе посредством информационно-телекоммуникационной сети Интернет, Оператор обеспечивае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6. АКТУАЛИЗАЦИЯ, ИСПРАВЛЕНИЕ, УДАЛЕНИЕ И УНИЧТОЖЕНИЕ ПЕРСОНАЛЬНЫХ ДАННЫХ, ОТВЕТЫ НА ЗАПРОСЫ СУБЪЕКТОВ ПЕРСОНАЛЬНЫХ ДАННЫХ НА ДОСТУП К ПЕРСОНАЛЬНЫМ ДАННЫМ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ч. 7 ст. 14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запроса субъекта персональных данных или ег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 представителя. Данный срок может быть продлен, но не более чем на пять рабочих дней.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Запрос должен содержать: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сведения, подтвержд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1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подпись субъекта персональных данных или его представителя.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left="313"/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Запрос может быть направлен в форме электронного документа и подписан электронной подписью в соответствии с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Российской Федерации.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 предоставляет сведения, указанные в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ч. 7 ст. 14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Если в обращении (запросе) субъекта персональных данных не отражены в соответствии с требованиями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ч. 8 ст. 14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случае подтверждения факта неточности персональных данных Оператор на основании сведений, п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6.3. В случае выявления неправомерной обработки персональных данных при обращении (запрос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6.4. При выявлени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2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6.5. Порядок уничтожения персональных данных Оператором.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6.5.1. Условия и сроки уничтожения персональных данных Оператором: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достижение цели обработки персональных данных либо утрата необходимости достигать эту цель - в течение 30 дней;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достижение максимальных сроков хранения документов, содержащих персональные данные, - в течение 30 дней;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3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6.5.2. 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4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4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о персональных данных или иными федеральными законами;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numPr>
          <w:ilvl w:val="0"/>
          <w:numId w:val="24"/>
        </w:numPr>
        <w:jc w:val="both"/>
        <w:spacing w:after="0"/>
        <w:tabs>
          <w:tab w:val="left" w:pos="540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иное не предусмотрено другим соглашением между Оператором и субъектом персональных данных.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6.5.3. Уничтожение персональных данных осуществляет комиссия, созданная приказом генерального директора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Оператора.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6.5.4. Способы уничтожения персональных данных устанавливаются в локальных нормативных актах Оператора.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7.1. Все отношения, касающиеся обработки персональных данных, не получившие отражения в Политике, регулируются согласно положениям законодательства РФ.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7.2. Оператор имеет право вносить изменения в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на Сайте Оператора, на информационном стенде Оператора в его месте нахождения.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276" w:right="1080" w:bottom="1440" w:left="1080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678" w:right="991"/>
      <w:jc w:val="center"/>
      <w:spacing w:after="0" w:line="240" w:lineRule="auto"/>
      <w:tabs>
        <w:tab w:val="center" w:pos="4536" w:leader="none"/>
        <w:tab w:val="right" w:pos="9072" w:leader="none"/>
      </w:tabs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ascii="Times New Roman" w:hAnsi="Times New Roman" w:eastAsia="Times New Roman" w:cs="Times New Roman"/>
        <w:sz w:val="20"/>
        <w:szCs w:val="20"/>
        <w:lang w:eastAsia="ru-RU"/>
      </w:rPr>
    </w:r>
    <w:r>
      <w:rPr>
        <w:rFonts w:ascii="Times New Roman" w:hAnsi="Times New Roman" w:eastAsia="Times New Roman" w:cs="Times New Roman"/>
        <w:sz w:val="20"/>
        <w:szCs w:val="20"/>
        <w:lang w:eastAsia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353" w:hanging="359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93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13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953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673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13" w:hanging="360"/>
      </w:pPr>
      <w:rPr>
        <w:rFonts w:ascii="Noto Sans Symbols" w:hAnsi="Noto Sans Symbols" w:eastAsia="Noto Sans Symbols" w:cs="Noto Sans Symbol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227"/>
        <w:tabs>
          <w:tab w:val="num" w:pos="54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25"/>
  </w:num>
  <w:num w:numId="5">
    <w:abstractNumId w:val="23"/>
  </w:num>
  <w:num w:numId="6">
    <w:abstractNumId w:val="20"/>
  </w:num>
  <w:num w:numId="7">
    <w:abstractNumId w:val="17"/>
  </w:num>
  <w:num w:numId="8">
    <w:abstractNumId w:val="18"/>
  </w:num>
  <w:num w:numId="9">
    <w:abstractNumId w:val="26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7"/>
  </w:num>
  <w:num w:numId="26">
    <w:abstractNumId w:val="16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30"/>
    <w:uiPriority w:val="99"/>
  </w:style>
  <w:style w:type="character" w:styleId="45">
    <w:name w:val="Footer Char"/>
    <w:basedOn w:val="720"/>
    <w:link w:val="732"/>
    <w:uiPriority w:val="99"/>
  </w:style>
  <w:style w:type="paragraph" w:styleId="46">
    <w:name w:val="Caption"/>
    <w:basedOn w:val="719"/>
    <w:next w:val="7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 w:customStyle="1">
    <w:name w:val="s3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4">
    <w:name w:val="Emphasis"/>
    <w:basedOn w:val="720"/>
    <w:uiPriority w:val="20"/>
    <w:qFormat/>
    <w:rPr>
      <w:i/>
      <w:iCs/>
    </w:rPr>
  </w:style>
  <w:style w:type="character" w:styleId="725">
    <w:name w:val="Strong"/>
    <w:basedOn w:val="720"/>
    <w:uiPriority w:val="22"/>
    <w:qFormat/>
    <w:rPr>
      <w:b/>
      <w:bCs/>
    </w:rPr>
  </w:style>
  <w:style w:type="paragraph" w:styleId="726" w:customStyle="1">
    <w:name w:val="s1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7">
    <w:name w:val="Hyperlink"/>
    <w:basedOn w:val="720"/>
    <w:uiPriority w:val="99"/>
    <w:unhideWhenUsed/>
    <w:rPr>
      <w:color w:val="0000ff"/>
      <w:u w:val="single"/>
    </w:rPr>
  </w:style>
  <w:style w:type="paragraph" w:styleId="728" w:customStyle="1">
    <w:name w:val="s9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List Paragraph"/>
    <w:basedOn w:val="719"/>
    <w:uiPriority w:val="34"/>
    <w:qFormat/>
    <w:pPr>
      <w:contextualSpacing/>
      <w:ind w:left="720"/>
    </w:pPr>
  </w:style>
  <w:style w:type="paragraph" w:styleId="730">
    <w:name w:val="Header"/>
    <w:basedOn w:val="719"/>
    <w:link w:val="7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1" w:customStyle="1">
    <w:name w:val="Верхний колонтитул Знак"/>
    <w:basedOn w:val="720"/>
    <w:link w:val="730"/>
    <w:uiPriority w:val="99"/>
  </w:style>
  <w:style w:type="paragraph" w:styleId="732">
    <w:name w:val="Footer"/>
    <w:basedOn w:val="719"/>
    <w:link w:val="7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3" w:customStyle="1">
    <w:name w:val="Нижний колонтитул Знак"/>
    <w:basedOn w:val="720"/>
    <w:link w:val="732"/>
    <w:uiPriority w:val="99"/>
  </w:style>
  <w:style w:type="character" w:styleId="734" w:customStyle="1">
    <w:name w:val="Unresolved Mention"/>
    <w:basedOn w:val="720"/>
    <w:uiPriority w:val="99"/>
    <w:semiHidden/>
    <w:unhideWhenUsed/>
    <w:rPr>
      <w:color w:val="605e5c"/>
      <w:shd w:val="clear" w:color="auto" w:fill="e1dfdd"/>
    </w:rPr>
  </w:style>
  <w:style w:type="table" w:styleId="735">
    <w:name w:val="Table Grid"/>
    <w:basedOn w:val="7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Balloon Text"/>
    <w:basedOn w:val="719"/>
    <w:link w:val="7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7" w:customStyle="1">
    <w:name w:val="Текст выноски Знак"/>
    <w:basedOn w:val="720"/>
    <w:link w:val="7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nikoturs.ru/" TargetMode="External"/><Relationship Id="rId12" Type="http://schemas.openxmlformats.org/officeDocument/2006/relationships/hyperlink" Target="https://vk.com/niko.tours" TargetMode="External"/><Relationship Id="rId13" Type="http://schemas.openxmlformats.org/officeDocument/2006/relationships/hyperlink" Target="https://t.me/niko_tours" TargetMode="External"/><Relationship Id="rId14" Type="http://schemas.openxmlformats.org/officeDocument/2006/relationships/hyperlink" Target="https://ok.ru/nikotours" TargetMode="External"/><Relationship Id="rId15" Type="http://schemas.openxmlformats.org/officeDocument/2006/relationships/hyperlink" Target="https://login.consultant.ru/link/?req=doc&amp;base=LAW&amp;n=482686&amp;date=04.12.2024" TargetMode="External"/><Relationship Id="rId16" Type="http://schemas.openxmlformats.org/officeDocument/2006/relationships/hyperlink" Target="https://yandex.ru/legal/confidential/" TargetMode="External"/><Relationship Id="rId17" Type="http://schemas.openxmlformats.org/officeDocument/2006/relationships/hyperlink" Target="https://yandex.ru/support/metrica/general/opt-out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FD98-EA8A-4B3D-B4A8-4E10BA3D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Сомов</cp:lastModifiedBy>
  <cp:revision>11</cp:revision>
  <dcterms:created xsi:type="dcterms:W3CDTF">2025-05-21T09:56:00Z</dcterms:created>
  <dcterms:modified xsi:type="dcterms:W3CDTF">2025-05-30T11:03:36Z</dcterms:modified>
</cp:coreProperties>
</file>